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9" w:type="dxa"/>
        <w:tblCellSpacing w:w="7" w:type="dxa"/>
        <w:tblCellMar>
          <w:top w:w="15" w:type="dxa"/>
          <w:left w:w="15" w:type="dxa"/>
          <w:bottom w:w="15" w:type="dxa"/>
          <w:right w:w="15" w:type="dxa"/>
        </w:tblCellMar>
        <w:tblLook w:val="04A0"/>
      </w:tblPr>
      <w:tblGrid>
        <w:gridCol w:w="8759"/>
      </w:tblGrid>
      <w:tr w:rsidR="00354AD2" w:rsidRPr="00354AD2" w:rsidTr="00354AD2">
        <w:trPr>
          <w:tblCellSpacing w:w="7" w:type="dxa"/>
        </w:trPr>
        <w:tc>
          <w:tcPr>
            <w:tcW w:w="8731" w:type="dxa"/>
            <w:vAlign w:val="bottom"/>
            <w:hideMark/>
          </w:tcPr>
          <w:p w:rsidR="00354AD2" w:rsidRPr="00354AD2" w:rsidRDefault="00354AD2" w:rsidP="00354AD2">
            <w:pPr>
              <w:spacing w:after="0" w:line="240" w:lineRule="auto"/>
              <w:rPr>
                <w:rFonts w:ascii="Times New Roman" w:eastAsia="Times New Roman" w:hAnsi="Times New Roman" w:cs="Times New Roman"/>
                <w:sz w:val="32"/>
                <w:szCs w:val="24"/>
              </w:rPr>
            </w:pPr>
            <w:r w:rsidRPr="00354AD2">
              <w:rPr>
                <w:rFonts w:ascii="Arial" w:eastAsia="Times New Roman" w:hAnsi="Arial" w:cs="Arial"/>
                <w:b/>
                <w:bCs/>
                <w:color w:val="333366"/>
                <w:sz w:val="24"/>
              </w:rPr>
              <w:t xml:space="preserve">DEFINITION OF PSYCHOANALYTIC CRITICISM </w:t>
            </w:r>
          </w:p>
        </w:tc>
      </w:tr>
      <w:tr w:rsidR="00354AD2" w:rsidRPr="00354AD2" w:rsidTr="00354AD2">
        <w:trPr>
          <w:tblCellSpacing w:w="7" w:type="dxa"/>
        </w:trPr>
        <w:tc>
          <w:tcPr>
            <w:tcW w:w="8731" w:type="dxa"/>
            <w:hideMark/>
          </w:tcPr>
          <w:p w:rsidR="00354AD2" w:rsidRPr="00354AD2" w:rsidRDefault="00354AD2" w:rsidP="00354AD2">
            <w:pPr>
              <w:spacing w:after="0" w:line="240" w:lineRule="auto"/>
              <w:rPr>
                <w:rFonts w:ascii="Times New Roman" w:eastAsia="Times New Roman" w:hAnsi="Times New Roman" w:cs="Times New Roman"/>
                <w:sz w:val="32"/>
                <w:szCs w:val="24"/>
              </w:rPr>
            </w:pPr>
            <w:r w:rsidRPr="00354AD2">
              <w:rPr>
                <w:rFonts w:ascii="Times New Roman" w:eastAsia="Times New Roman" w:hAnsi="Times New Roman" w:cs="Times New Roman"/>
                <w:noProof/>
                <w:sz w:val="32"/>
                <w:szCs w:val="24"/>
              </w:rPr>
              <w:drawing>
                <wp:inline distT="0" distB="0" distL="0" distR="0">
                  <wp:extent cx="4114800" cy="19050"/>
                  <wp:effectExtent l="19050" t="0" r="0" b="0"/>
                  <wp:docPr id="1" name="Picture 1" descr="http://bcs.bedfordstmartins.com/virtualit/poetry/images/definition_sub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s.bedfordstmartins.com/virtualit/poetry/images/definition_subtitle.gif"/>
                          <pic:cNvPicPr>
                            <a:picLocks noChangeAspect="1" noChangeArrowheads="1"/>
                          </pic:cNvPicPr>
                        </pic:nvPicPr>
                        <pic:blipFill>
                          <a:blip r:embed="rId4" cstate="print"/>
                          <a:srcRect/>
                          <a:stretch>
                            <a:fillRect/>
                          </a:stretch>
                        </pic:blipFill>
                        <pic:spPr bwMode="auto">
                          <a:xfrm>
                            <a:off x="0" y="0"/>
                            <a:ext cx="4114800" cy="19050"/>
                          </a:xfrm>
                          <a:prstGeom prst="rect">
                            <a:avLst/>
                          </a:prstGeom>
                          <a:noFill/>
                          <a:ln w="9525">
                            <a:noFill/>
                            <a:miter lim="800000"/>
                            <a:headEnd/>
                            <a:tailEnd/>
                          </a:ln>
                        </pic:spPr>
                      </pic:pic>
                    </a:graphicData>
                  </a:graphic>
                </wp:inline>
              </w:drawing>
            </w:r>
          </w:p>
        </w:tc>
      </w:tr>
      <w:tr w:rsidR="00354AD2" w:rsidRPr="00354AD2" w:rsidTr="00354AD2">
        <w:trPr>
          <w:tblCellSpacing w:w="7" w:type="dxa"/>
        </w:trPr>
        <w:tc>
          <w:tcPr>
            <w:tcW w:w="8731" w:type="dxa"/>
            <w:hideMark/>
          </w:tcPr>
          <w:p w:rsidR="00354AD2" w:rsidRPr="00354AD2" w:rsidRDefault="00354AD2" w:rsidP="00354AD2">
            <w:pPr>
              <w:spacing w:before="100" w:beforeAutospacing="1" w:after="100" w:afterAutospacing="1" w:line="240" w:lineRule="auto"/>
              <w:rPr>
                <w:rFonts w:ascii="Times New Roman" w:eastAsia="Times New Roman" w:hAnsi="Times New Roman" w:cs="Times New Roman"/>
                <w:sz w:val="32"/>
                <w:szCs w:val="24"/>
              </w:rPr>
            </w:pPr>
            <w:r w:rsidRPr="00354AD2">
              <w:rPr>
                <w:rFonts w:ascii="Arial" w:eastAsia="Times New Roman" w:hAnsi="Arial" w:cs="Arial"/>
                <w:noProof/>
                <w:color w:val="000000"/>
                <w:szCs w:val="18"/>
              </w:rPr>
              <w:drawing>
                <wp:inline distT="0" distB="0" distL="0" distR="0">
                  <wp:extent cx="142875" cy="9525"/>
                  <wp:effectExtent l="0" t="0" r="0" b="0"/>
                  <wp:docPr id="2" name="Picture 2" descr="http://bcs.bedfordstmartins.com/virtualit/poetr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s.bedfordstmartins.com/virtualit/poetry/images/shim.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r w:rsidRPr="00354AD2">
              <w:rPr>
                <w:rFonts w:ascii="Arial" w:eastAsia="Times New Roman" w:hAnsi="Arial" w:cs="Arial"/>
                <w:color w:val="000000"/>
              </w:rPr>
              <w:t>Psychoanalytic criticism originated in the work of Austrian psychoanalyst Sigmund Freud, who pioneered the technique of psychoanalysis. Freud developed a language that described, a model that explained, and a theory that encompassed human psychology. His theories are directly and indirectly concerned with the nature of the unconscious mind.</w:t>
            </w:r>
            <w:r w:rsidRPr="00354AD2">
              <w:rPr>
                <w:rFonts w:ascii="Arial" w:eastAsia="Times New Roman" w:hAnsi="Arial" w:cs="Arial"/>
                <w:color w:val="000000"/>
                <w:szCs w:val="18"/>
              </w:rPr>
              <w:br/>
            </w:r>
            <w:r w:rsidRPr="00354AD2">
              <w:rPr>
                <w:rFonts w:ascii="Arial" w:eastAsia="Times New Roman" w:hAnsi="Arial" w:cs="Arial"/>
                <w:noProof/>
                <w:color w:val="000000"/>
                <w:szCs w:val="18"/>
              </w:rPr>
              <w:drawing>
                <wp:inline distT="0" distB="0" distL="0" distR="0">
                  <wp:extent cx="142875" cy="9525"/>
                  <wp:effectExtent l="0" t="0" r="0" b="0"/>
                  <wp:docPr id="3" name="Picture 3" descr="http://bcs.bedfordstmartins.com/virtualit/poetr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s.bedfordstmartins.com/virtualit/poetry/images/shim.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r w:rsidRPr="00354AD2">
              <w:rPr>
                <w:rFonts w:ascii="Arial" w:eastAsia="Times New Roman" w:hAnsi="Arial" w:cs="Arial"/>
                <w:color w:val="000000"/>
              </w:rPr>
              <w:t xml:space="preserve">The psychoanalytic approach to literature not only rests on the theories of Freud; it may even be said to have </w:t>
            </w:r>
            <w:r w:rsidRPr="00354AD2">
              <w:rPr>
                <w:rFonts w:ascii="Arial" w:eastAsia="Times New Roman" w:hAnsi="Arial" w:cs="Arial"/>
                <w:i/>
                <w:iCs/>
                <w:color w:val="000000"/>
              </w:rPr>
              <w:t>begun</w:t>
            </w:r>
            <w:r w:rsidRPr="00354AD2">
              <w:rPr>
                <w:rFonts w:ascii="Arial" w:eastAsia="Times New Roman" w:hAnsi="Arial" w:cs="Arial"/>
                <w:color w:val="000000"/>
              </w:rPr>
              <w:t xml:space="preserve"> with Freud, who wrote literary criticism as well as psychoanalytic theory. Probably because of Freud’s characterization of the artist’s mind as “one urged on by instincts that are too clamorous,” psychoanalytic criticism written before 1950 tended to psychoanalyze the individual author. Literary works were read—sometimes unconvincingly—as fantasies that allowed authors to indulge repressed wishes, to protect themselves from deep-seated anxieties, or both.</w:t>
            </w:r>
            <w:r w:rsidRPr="00354AD2">
              <w:rPr>
                <w:rFonts w:ascii="Arial" w:eastAsia="Times New Roman" w:hAnsi="Arial" w:cs="Arial"/>
                <w:color w:val="000000"/>
                <w:szCs w:val="18"/>
              </w:rPr>
              <w:br/>
            </w:r>
            <w:r w:rsidRPr="00354AD2">
              <w:rPr>
                <w:rFonts w:ascii="Arial" w:eastAsia="Times New Roman" w:hAnsi="Arial" w:cs="Arial"/>
                <w:noProof/>
                <w:color w:val="000000"/>
                <w:szCs w:val="18"/>
              </w:rPr>
              <w:drawing>
                <wp:inline distT="0" distB="0" distL="0" distR="0">
                  <wp:extent cx="142875" cy="9525"/>
                  <wp:effectExtent l="0" t="0" r="0" b="0"/>
                  <wp:docPr id="4" name="Picture 4" descr="http://bcs.bedfordstmartins.com/virtualit/poetr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s.bedfordstmartins.com/virtualit/poetry/images/shim.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r w:rsidRPr="00354AD2">
              <w:rPr>
                <w:rFonts w:ascii="Arial" w:eastAsia="Times New Roman" w:hAnsi="Arial" w:cs="Arial"/>
                <w:color w:val="000000"/>
              </w:rPr>
              <w:t xml:space="preserve">After 1950, psychoanalytic critics began to emphasize the ways in which authors create works that appeal to readers’ repressed wishes and fantasies. Consequently, they shifted their focus away from the author’s psyche toward the psychology of the reader and the text. Norman Holland’s theories, concerned more with the reader than with the text, helped to establish reader-response criticism. Critics influenced by D.W. </w:t>
            </w:r>
            <w:proofErr w:type="spellStart"/>
            <w:r w:rsidRPr="00354AD2">
              <w:rPr>
                <w:rFonts w:ascii="Arial" w:eastAsia="Times New Roman" w:hAnsi="Arial" w:cs="Arial"/>
                <w:color w:val="000000"/>
              </w:rPr>
              <w:t>Winnicott</w:t>
            </w:r>
            <w:proofErr w:type="spellEnd"/>
            <w:r w:rsidRPr="00354AD2">
              <w:rPr>
                <w:rFonts w:ascii="Arial" w:eastAsia="Times New Roman" w:hAnsi="Arial" w:cs="Arial"/>
                <w:color w:val="000000"/>
              </w:rPr>
              <w:t xml:space="preserve">, an object-relations theorist, have questioned the tendency to see the reader/text as an either/or construct; instead, they have seen reader and text (or audience and play) in terms of a relationship taking place in what </w:t>
            </w:r>
            <w:proofErr w:type="spellStart"/>
            <w:r w:rsidRPr="00354AD2">
              <w:rPr>
                <w:rFonts w:ascii="Arial" w:eastAsia="Times New Roman" w:hAnsi="Arial" w:cs="Arial"/>
                <w:color w:val="000000"/>
              </w:rPr>
              <w:t>Winnicott</w:t>
            </w:r>
            <w:proofErr w:type="spellEnd"/>
            <w:r w:rsidRPr="00354AD2">
              <w:rPr>
                <w:rFonts w:ascii="Arial" w:eastAsia="Times New Roman" w:hAnsi="Arial" w:cs="Arial"/>
                <w:color w:val="000000"/>
              </w:rPr>
              <w:t xml:space="preserve"> calls a “transitional” or “potential space”—space in which binary oppositions like real/illusory and objective/subjective have little or no meaning.</w:t>
            </w:r>
            <w:r w:rsidRPr="00354AD2">
              <w:rPr>
                <w:rFonts w:ascii="Arial" w:eastAsia="Times New Roman" w:hAnsi="Arial" w:cs="Arial"/>
                <w:color w:val="000000"/>
                <w:szCs w:val="18"/>
              </w:rPr>
              <w:br/>
            </w:r>
            <w:r w:rsidRPr="00354AD2">
              <w:rPr>
                <w:rFonts w:ascii="Arial" w:eastAsia="Times New Roman" w:hAnsi="Arial" w:cs="Arial"/>
                <w:noProof/>
                <w:color w:val="000000"/>
                <w:szCs w:val="18"/>
              </w:rPr>
              <w:drawing>
                <wp:inline distT="0" distB="0" distL="0" distR="0">
                  <wp:extent cx="142875" cy="9525"/>
                  <wp:effectExtent l="0" t="0" r="0" b="0"/>
                  <wp:docPr id="5" name="Picture 5" descr="http://bcs.bedfordstmartins.com/virtualit/poetr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s.bedfordstmartins.com/virtualit/poetry/images/shim.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r w:rsidRPr="00354AD2">
              <w:rPr>
                <w:rFonts w:ascii="Arial" w:eastAsia="Times New Roman" w:hAnsi="Arial" w:cs="Arial"/>
                <w:color w:val="000000"/>
              </w:rPr>
              <w:t xml:space="preserve">Jacques </w:t>
            </w:r>
            <w:proofErr w:type="spellStart"/>
            <w:r w:rsidRPr="00354AD2">
              <w:rPr>
                <w:rFonts w:ascii="Arial" w:eastAsia="Times New Roman" w:hAnsi="Arial" w:cs="Arial"/>
                <w:color w:val="000000"/>
              </w:rPr>
              <w:t>Lacan</w:t>
            </w:r>
            <w:proofErr w:type="spellEnd"/>
            <w:r w:rsidRPr="00354AD2">
              <w:rPr>
                <w:rFonts w:ascii="Arial" w:eastAsia="Times New Roman" w:hAnsi="Arial" w:cs="Arial"/>
                <w:color w:val="000000"/>
              </w:rPr>
              <w:t xml:space="preserve">, another post-Freudian psychoanalytic theorist, focused on language and language-related issues. </w:t>
            </w:r>
            <w:proofErr w:type="spellStart"/>
            <w:r w:rsidRPr="00354AD2">
              <w:rPr>
                <w:rFonts w:ascii="Arial" w:eastAsia="Times New Roman" w:hAnsi="Arial" w:cs="Arial"/>
                <w:color w:val="000000"/>
              </w:rPr>
              <w:t>Lacan</w:t>
            </w:r>
            <w:proofErr w:type="spellEnd"/>
            <w:r w:rsidRPr="00354AD2">
              <w:rPr>
                <w:rFonts w:ascii="Arial" w:eastAsia="Times New Roman" w:hAnsi="Arial" w:cs="Arial"/>
                <w:color w:val="000000"/>
              </w:rPr>
              <w:t xml:space="preserve"> treats the unconscious as a language; consequently, he views the dream not as Freud did (that is, as a form and symptom of repression) but rather as a form of discourse. Thus we may study dreams psychoanalytically in order to learn about literature, even as we may study literature in order to learn more about the unconscious. </w:t>
            </w:r>
            <w:proofErr w:type="spellStart"/>
            <w:r w:rsidRPr="00354AD2">
              <w:rPr>
                <w:rFonts w:ascii="Arial" w:eastAsia="Times New Roman" w:hAnsi="Arial" w:cs="Arial"/>
                <w:color w:val="000000"/>
              </w:rPr>
              <w:t>Lacan</w:t>
            </w:r>
            <w:proofErr w:type="spellEnd"/>
            <w:r w:rsidRPr="00354AD2">
              <w:rPr>
                <w:rFonts w:ascii="Arial" w:eastAsia="Times New Roman" w:hAnsi="Arial" w:cs="Arial"/>
                <w:color w:val="000000"/>
              </w:rPr>
              <w:t xml:space="preserve"> also revised Freud’s concept of the Oedipus complex—the childhood wish to displace the parent of one’s own sex and take his or her place in the affections of the parent of the opposite sex—by relating it to the issue of language. He argues that the pre-oedipal stage is also a preverbal or “mirror stage,” a stage he associates with the </w:t>
            </w:r>
            <w:r w:rsidRPr="00354AD2">
              <w:rPr>
                <w:rFonts w:ascii="Arial" w:eastAsia="Times New Roman" w:hAnsi="Arial" w:cs="Arial"/>
                <w:i/>
                <w:iCs/>
                <w:color w:val="000000"/>
              </w:rPr>
              <w:t>imaginary order</w:t>
            </w:r>
            <w:r w:rsidRPr="00354AD2">
              <w:rPr>
                <w:rFonts w:ascii="Arial" w:eastAsia="Times New Roman" w:hAnsi="Arial" w:cs="Arial"/>
                <w:color w:val="000000"/>
              </w:rPr>
              <w:t xml:space="preserve">. He associates the subsequent oedipal stage—which roughly coincides with the child’s entry into language—with what he calls the </w:t>
            </w:r>
            <w:r w:rsidRPr="00354AD2">
              <w:rPr>
                <w:rFonts w:ascii="Arial" w:eastAsia="Times New Roman" w:hAnsi="Arial" w:cs="Arial"/>
                <w:i/>
                <w:iCs/>
                <w:color w:val="000000"/>
              </w:rPr>
              <w:t>symbolic order,</w:t>
            </w:r>
            <w:r w:rsidRPr="00354AD2">
              <w:rPr>
                <w:rFonts w:ascii="Arial" w:eastAsia="Times New Roman" w:hAnsi="Arial" w:cs="Arial"/>
                <w:color w:val="000000"/>
              </w:rPr>
              <w:t xml:space="preserve"> in which words are not the things they stand for but substitutes for those things. The </w:t>
            </w:r>
            <w:r w:rsidRPr="00354AD2">
              <w:rPr>
                <w:rFonts w:ascii="Arial" w:eastAsia="Times New Roman" w:hAnsi="Arial" w:cs="Arial"/>
                <w:i/>
                <w:iCs/>
                <w:color w:val="000000"/>
              </w:rPr>
              <w:t>imaginary order</w:t>
            </w:r>
            <w:r w:rsidRPr="00354AD2">
              <w:rPr>
                <w:rFonts w:ascii="Arial" w:eastAsia="Times New Roman" w:hAnsi="Arial" w:cs="Arial"/>
                <w:color w:val="000000"/>
              </w:rPr>
              <w:t xml:space="preserve"> and the </w:t>
            </w:r>
            <w:r w:rsidRPr="00354AD2">
              <w:rPr>
                <w:rFonts w:ascii="Arial" w:eastAsia="Times New Roman" w:hAnsi="Arial" w:cs="Arial"/>
                <w:i/>
                <w:iCs/>
                <w:color w:val="000000"/>
              </w:rPr>
              <w:t>symbolic order</w:t>
            </w:r>
            <w:r w:rsidRPr="00354AD2">
              <w:rPr>
                <w:rFonts w:ascii="Arial" w:eastAsia="Times New Roman" w:hAnsi="Arial" w:cs="Arial"/>
                <w:color w:val="000000"/>
              </w:rPr>
              <w:t xml:space="preserve"> are two of </w:t>
            </w:r>
            <w:proofErr w:type="spellStart"/>
            <w:r w:rsidRPr="00354AD2">
              <w:rPr>
                <w:rFonts w:ascii="Arial" w:eastAsia="Times New Roman" w:hAnsi="Arial" w:cs="Arial"/>
                <w:color w:val="000000"/>
              </w:rPr>
              <w:t>Lacan’s</w:t>
            </w:r>
            <w:proofErr w:type="spellEnd"/>
            <w:r w:rsidRPr="00354AD2">
              <w:rPr>
                <w:rFonts w:ascii="Arial" w:eastAsia="Times New Roman" w:hAnsi="Arial" w:cs="Arial"/>
                <w:color w:val="000000"/>
              </w:rPr>
              <w:t xml:space="preserve"> three orders of subjectivity, the third being the real, which involves intractable and substantial things or states that cannot be imagined, symbolized, or known directly (such as death). </w:t>
            </w:r>
          </w:p>
        </w:tc>
      </w:tr>
    </w:tbl>
    <w:p w:rsidR="00DB32E4" w:rsidRPr="00354AD2" w:rsidRDefault="00DB32E4">
      <w:pPr>
        <w:rPr>
          <w:sz w:val="28"/>
        </w:rPr>
      </w:pPr>
    </w:p>
    <w:sectPr w:rsidR="00DB32E4" w:rsidRPr="00354AD2" w:rsidSect="00DB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AD2"/>
    <w:rsid w:val="00354AD2"/>
    <w:rsid w:val="00DB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ype1">
    <w:name w:val="deftype1"/>
    <w:basedOn w:val="DefaultParagraphFont"/>
    <w:rsid w:val="00354AD2"/>
    <w:rPr>
      <w:rFonts w:ascii="Arial" w:hAnsi="Arial" w:cs="Arial" w:hint="default"/>
      <w:b/>
      <w:bCs/>
      <w:strike w:val="0"/>
      <w:dstrike w:val="0"/>
      <w:color w:val="333366"/>
      <w:sz w:val="21"/>
      <w:szCs w:val="21"/>
      <w:u w:val="none"/>
      <w:effect w:val="none"/>
    </w:rPr>
  </w:style>
  <w:style w:type="paragraph" w:styleId="NormalWeb">
    <w:name w:val="Normal (Web)"/>
    <w:basedOn w:val="Normal"/>
    <w:uiPriority w:val="99"/>
    <w:unhideWhenUsed/>
    <w:rsid w:val="00354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text1">
    <w:name w:val="tabtext1"/>
    <w:basedOn w:val="DefaultParagraphFont"/>
    <w:rsid w:val="00354AD2"/>
    <w:rPr>
      <w:rFonts w:ascii="Arial" w:hAnsi="Arial" w:cs="Arial" w:hint="default"/>
      <w:strike w:val="0"/>
      <w:dstrike w:val="0"/>
      <w:color w:val="000000"/>
      <w:sz w:val="18"/>
      <w:szCs w:val="18"/>
      <w:u w:val="none"/>
      <w:effect w:val="none"/>
    </w:rPr>
  </w:style>
  <w:style w:type="paragraph" w:styleId="BalloonText">
    <w:name w:val="Balloon Text"/>
    <w:basedOn w:val="Normal"/>
    <w:link w:val="BalloonTextChar"/>
    <w:uiPriority w:val="99"/>
    <w:semiHidden/>
    <w:unhideWhenUsed/>
    <w:rsid w:val="0035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2015-02-10T18:06:00Z</cp:lastPrinted>
  <dcterms:created xsi:type="dcterms:W3CDTF">2015-02-10T18:05:00Z</dcterms:created>
  <dcterms:modified xsi:type="dcterms:W3CDTF">2015-02-10T18:06:00Z</dcterms:modified>
</cp:coreProperties>
</file>