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35"/>
        <w:gridCol w:w="3060"/>
      </w:tblGrid>
      <w:tr w:rsidR="000D3328" w:rsidTr="00C01A27">
        <w:tc>
          <w:tcPr>
            <w:tcW w:w="6835" w:type="dxa"/>
          </w:tcPr>
          <w:p w:rsidR="000D3328" w:rsidRDefault="000D3328" w:rsidP="00CB272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ENGLISH 11  </w:t>
            </w:r>
            <w:r w:rsidR="00CB2726">
              <w:rPr>
                <w:rFonts w:ascii="Tw Cen MT" w:hAnsi="Tw Cen MT"/>
                <w:sz w:val="40"/>
              </w:rPr>
              <w:t xml:space="preserve">Biography: </w:t>
            </w:r>
            <w:proofErr w:type="spellStart"/>
            <w:r w:rsidR="00CB2726">
              <w:rPr>
                <w:rFonts w:ascii="Tw Cen MT" w:hAnsi="Tw Cen MT"/>
                <w:sz w:val="40"/>
              </w:rPr>
              <w:t>Henrik</w:t>
            </w:r>
            <w:proofErr w:type="spellEnd"/>
            <w:r w:rsidR="00CB2726">
              <w:rPr>
                <w:rFonts w:ascii="Tw Cen MT" w:hAnsi="Tw Cen MT"/>
                <w:sz w:val="40"/>
              </w:rPr>
              <w:t xml:space="preserve"> Ibsen</w:t>
            </w:r>
          </w:p>
        </w:tc>
        <w:tc>
          <w:tcPr>
            <w:tcW w:w="3060" w:type="dxa"/>
            <w:vMerge w:val="restart"/>
          </w:tcPr>
          <w:p w:rsidR="000D3328" w:rsidRDefault="000D3328" w:rsidP="00C01A2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Name:</w:t>
            </w:r>
          </w:p>
          <w:p w:rsidR="000D3328" w:rsidRDefault="000D3328" w:rsidP="00C01A2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Date:</w:t>
            </w:r>
          </w:p>
          <w:p w:rsidR="000D3328" w:rsidRDefault="000D3328" w:rsidP="00C01A27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Block:</w:t>
            </w:r>
          </w:p>
        </w:tc>
      </w:tr>
      <w:tr w:rsidR="000D3328" w:rsidTr="00C01A27">
        <w:tc>
          <w:tcPr>
            <w:tcW w:w="6835" w:type="dxa"/>
          </w:tcPr>
          <w:p w:rsidR="000D3328" w:rsidRPr="00680D3A" w:rsidRDefault="00CB2726" w:rsidP="00C01A27">
            <w:pPr>
              <w:spacing w:line="216" w:lineRule="auto"/>
              <w:rPr>
                <w:rFonts w:ascii="Futura" w:hAnsi="Futura" w:cs="Futura"/>
              </w:rPr>
            </w:pPr>
            <w:r>
              <w:rPr>
                <w:rFonts w:ascii="Futura" w:hAnsi="Futura" w:cs="Futura"/>
              </w:rPr>
              <w:t xml:space="preserve">Background information about </w:t>
            </w:r>
            <w:proofErr w:type="spellStart"/>
            <w:r>
              <w:rPr>
                <w:rFonts w:ascii="Futura" w:hAnsi="Futura" w:cs="Futura"/>
              </w:rPr>
              <w:t>Henrik</w:t>
            </w:r>
            <w:proofErr w:type="spellEnd"/>
            <w:r>
              <w:rPr>
                <w:rFonts w:ascii="Futura" w:hAnsi="Futura" w:cs="Futura"/>
              </w:rPr>
              <w:t xml:space="preserve"> Ibsen, the author of </w:t>
            </w:r>
            <w:r>
              <w:rPr>
                <w:rFonts w:ascii="Futura" w:hAnsi="Futura" w:cs="Futura"/>
                <w:i/>
              </w:rPr>
              <w:t>A Doll’s House</w:t>
            </w:r>
            <w:r w:rsidR="000D3328">
              <w:rPr>
                <w:rFonts w:ascii="Futura" w:hAnsi="Futura" w:cs="Futura"/>
              </w:rPr>
              <w:t>.</w:t>
            </w:r>
          </w:p>
        </w:tc>
        <w:tc>
          <w:tcPr>
            <w:tcW w:w="3060" w:type="dxa"/>
            <w:vMerge/>
          </w:tcPr>
          <w:p w:rsidR="000D3328" w:rsidRDefault="000D3328" w:rsidP="00C01A27">
            <w:pPr>
              <w:rPr>
                <w:rFonts w:ascii="Goudy Old Style" w:hAnsi="Goudy Old Style"/>
              </w:rPr>
            </w:pPr>
          </w:p>
        </w:tc>
      </w:tr>
    </w:tbl>
    <w:p w:rsidR="00CB2726" w:rsidRDefault="00CB2726" w:rsidP="000D3328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0D3328" w:rsidRPr="00721394" w:rsidRDefault="000D3328" w:rsidP="00721394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  <w:r w:rsidRPr="00721394">
        <w:rPr>
          <w:rFonts w:ascii="Goudy Old Style" w:hAnsi="Goudy Old Style" w:cs="Times-Roman"/>
          <w:sz w:val="22"/>
          <w:szCs w:val="22"/>
        </w:rPr>
        <w:t xml:space="preserve">Ibsen was born March 20, 1828, in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Skien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>, Norway, a lumbering town south of Christiania, now Oslo. He was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the second son in a wealthy family that included five other siblings. In 1835, financial problems forced the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family to move to a smaller house in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Venstop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outside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Skien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>. After eight years, the family moved back to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Skein, and Ibsen moved to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Grimstad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to study as an apothecary's assistant. He applied to and was rejected at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Christiania University. During the winter of 1848, Ibsen wrote his first play,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Catiline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>, which was rejected by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t</w:t>
      </w:r>
      <w:r w:rsidRPr="00721394">
        <w:rPr>
          <w:rFonts w:ascii="Goudy Old Style" w:hAnsi="Goudy Old Style" w:cs="Times-Roman"/>
          <w:sz w:val="22"/>
          <w:szCs w:val="22"/>
        </w:rPr>
        <w:t xml:space="preserve">he Christiania Theatre; it was finally published in 1850 under the pseudonym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Brynjolf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Bjarme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and generated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little interest. Ibsen's second play,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The Burial Mound</w:t>
      </w:r>
      <w:r w:rsidRPr="00721394">
        <w:rPr>
          <w:rFonts w:ascii="Goudy Old Style" w:hAnsi="Goudy Old Style" w:cs="Times-Roman"/>
          <w:sz w:val="22"/>
          <w:szCs w:val="22"/>
        </w:rPr>
        <w:t xml:space="preserve">, was also written under the pseudonym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Brynjolf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Bjarme</w:t>
      </w:r>
      <w:proofErr w:type="spellEnd"/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and became the first Ibsen play to be performed when it was presented on September 26, 1850, at the</w:t>
      </w:r>
      <w:r w:rsidR="00721394">
        <w:rPr>
          <w:rFonts w:ascii="Goudy Old Style" w:hAnsi="Goudy Old Style" w:cs="Times-Roman"/>
          <w:sz w:val="22"/>
          <w:szCs w:val="22"/>
        </w:rPr>
        <w:t xml:space="preserve"> </w:t>
      </w:r>
      <w:bookmarkStart w:id="0" w:name="_GoBack"/>
      <w:bookmarkEnd w:id="0"/>
      <w:r w:rsidRPr="00721394">
        <w:rPr>
          <w:rFonts w:ascii="Goudy Old Style" w:hAnsi="Goudy Old Style" w:cs="Times-Roman"/>
          <w:sz w:val="22"/>
          <w:szCs w:val="22"/>
        </w:rPr>
        <w:t>Christiania Theatre.</w:t>
      </w:r>
    </w:p>
    <w:p w:rsidR="00CB2726" w:rsidRPr="00721394" w:rsidRDefault="00CB2726" w:rsidP="00CB2726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</w:p>
    <w:p w:rsidR="000D3328" w:rsidRPr="00721394" w:rsidRDefault="000D3328" w:rsidP="00CB2726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  <w:r w:rsidRPr="00721394">
        <w:rPr>
          <w:rFonts w:ascii="Goudy Old Style" w:hAnsi="Goudy Old Style" w:cs="Times-Roman"/>
          <w:sz w:val="22"/>
          <w:szCs w:val="22"/>
        </w:rPr>
        <w:t>In 1851, Ibsen accepted an appointment as an assistant stage manager at the Norwegian Theatre in Bergen. He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was also expected to assist the theatre as a dramatic author, and during his tenure at Bergen, Ibsen wrote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Lady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lnger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(1855),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The Feast at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Solhoug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(1856), and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Olaf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Liljekrans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(1857). These early plays were written in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verse and drawn from Norse folklore and myths. In 1857, Ibsen was released from his contract at Bergen and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accepted a position at the Norwegian Theatre in Christiania. While there, Ibsen published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The Vikings at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Helgeland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and married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Suzannah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Thoresen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 xml:space="preserve"> in 1858. The couple's only child, </w:t>
      </w:r>
      <w:proofErr w:type="spellStart"/>
      <w:r w:rsidRPr="00721394">
        <w:rPr>
          <w:rFonts w:ascii="Goudy Old Style" w:hAnsi="Goudy Old Style" w:cs="Times-Roman"/>
          <w:sz w:val="22"/>
          <w:szCs w:val="22"/>
        </w:rPr>
        <w:t>Sigurd</w:t>
      </w:r>
      <w:proofErr w:type="spellEnd"/>
      <w:r w:rsidRPr="00721394">
        <w:rPr>
          <w:rFonts w:ascii="Goudy Old Style" w:hAnsi="Goudy Old Style" w:cs="Times-Roman"/>
          <w:sz w:val="22"/>
          <w:szCs w:val="22"/>
        </w:rPr>
        <w:t>, was born the following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year.</w:t>
      </w:r>
    </w:p>
    <w:p w:rsidR="00CB2726" w:rsidRPr="00721394" w:rsidRDefault="00CB2726" w:rsidP="00CB2726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</w:p>
    <w:p w:rsidR="00201B19" w:rsidRPr="00721394" w:rsidRDefault="000D3328" w:rsidP="00CB2726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  <w:r w:rsidRPr="00721394">
        <w:rPr>
          <w:rFonts w:ascii="Goudy Old Style" w:hAnsi="Goudy Old Style" w:cs="Times-Roman"/>
          <w:sz w:val="22"/>
          <w:szCs w:val="22"/>
        </w:rPr>
        <w:t>By 1860, Ibsen was under attack in the press for a lack of productivity—although he had published a few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poems during this period. When the Christiania Theatre went bankrupt in 1862, Ibsen was left with no regular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income except a temporary position as a literary advisor to the reorganized Christiania Theatre. Due to a series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of small government grants, by 1863 Ibsen was able to travel in Europe and begin what became an intense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period of creativity. During this period, Ibsen completed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The Pretenders </w:t>
      </w:r>
      <w:r w:rsidRPr="00721394">
        <w:rPr>
          <w:rFonts w:ascii="Goudy Old Style" w:hAnsi="Goudy Old Style" w:cs="Times-Roman"/>
          <w:sz w:val="22"/>
          <w:szCs w:val="22"/>
        </w:rPr>
        <w:t>(1863) and a dramatic epic poem,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"Brand" (1866), which achieved critical notice; these works were soon followed by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Peer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Gynt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(1867). The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first of Ibsen's prose dramas,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The League of Youth</w:t>
      </w:r>
      <w:r w:rsidRPr="00721394">
        <w:rPr>
          <w:rFonts w:ascii="Goudy Old Style" w:hAnsi="Goudy Old Style" w:cs="Times-Roman"/>
          <w:sz w:val="22"/>
          <w:szCs w:val="22"/>
        </w:rPr>
        <w:t>, published in 1869, was also the first of his plays to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demonstrate a shift from an emphasis on plot to one of interpersonal relationships. This was followed by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Emperor and Galilean</w:t>
      </w:r>
      <w:r w:rsidR="00CB2726"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(1873), Ibsen's first work to be translated into English, and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Pillars of Society </w:t>
      </w:r>
      <w:r w:rsidRPr="00721394">
        <w:rPr>
          <w:rFonts w:ascii="Goudy Old Style" w:hAnsi="Goudy Old Style" w:cs="Times-Roman"/>
          <w:sz w:val="22"/>
          <w:szCs w:val="22"/>
        </w:rPr>
        <w:t xml:space="preserve">(1877).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>A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Doll's House </w:t>
      </w:r>
      <w:r w:rsidRPr="00721394">
        <w:rPr>
          <w:rFonts w:ascii="Goudy Old Style" w:hAnsi="Goudy Old Style" w:cs="Times-Roman"/>
          <w:sz w:val="22"/>
          <w:szCs w:val="22"/>
        </w:rPr>
        <w:t xml:space="preserve">(1879),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Ghosts </w:t>
      </w:r>
      <w:r w:rsidRPr="00721394">
        <w:rPr>
          <w:rFonts w:ascii="Goudy Old Style" w:hAnsi="Goudy Old Style" w:cs="Times-Roman"/>
          <w:sz w:val="22"/>
          <w:szCs w:val="22"/>
        </w:rPr>
        <w:t xml:space="preserve">(1881), and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An Enemy of the </w:t>
      </w:r>
      <w:proofErr w:type="gramStart"/>
      <w:r w:rsidRPr="00721394">
        <w:rPr>
          <w:rFonts w:ascii="Goudy Old Style" w:hAnsi="Goudy Old Style" w:cs="Times-Roman"/>
          <w:i/>
          <w:iCs/>
          <w:sz w:val="22"/>
          <w:szCs w:val="22"/>
        </w:rPr>
        <w:t>People</w:t>
      </w:r>
      <w:r w:rsidRPr="00721394">
        <w:rPr>
          <w:rFonts w:ascii="Goudy Old Style" w:hAnsi="Goudy Old Style" w:cs="Times-Roman"/>
          <w:sz w:val="22"/>
          <w:szCs w:val="22"/>
        </w:rPr>
        <w:t>(</w:t>
      </w:r>
      <w:proofErr w:type="gramEnd"/>
      <w:r w:rsidRPr="00721394">
        <w:rPr>
          <w:rFonts w:ascii="Goudy Old Style" w:hAnsi="Goudy Old Style" w:cs="Times-Roman"/>
          <w:sz w:val="22"/>
          <w:szCs w:val="22"/>
        </w:rPr>
        <w:t>1882) are among the last plays included in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Ibsen's realism period. Ibsen continued to write of modern realistic themes in his next plays, but he also relied</w:t>
      </w:r>
      <w:r w:rsidR="00CB2726" w:rsidRPr="00721394">
        <w:rPr>
          <w:rFonts w:ascii="Goudy Old Style" w:hAnsi="Goudy Old Style" w:cs="Times-Roman"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increasingly on metaphor and symbolism in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The Wild Duck </w:t>
      </w:r>
      <w:r w:rsidRPr="00721394">
        <w:rPr>
          <w:rFonts w:ascii="Goudy Old Style" w:hAnsi="Goudy Old Style" w:cs="Times-Roman"/>
          <w:sz w:val="22"/>
          <w:szCs w:val="22"/>
        </w:rPr>
        <w:t xml:space="preserve">(1884) and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Hedda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Gabler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(1890).</w:t>
      </w:r>
    </w:p>
    <w:p w:rsidR="00721394" w:rsidRPr="00721394" w:rsidRDefault="00721394" w:rsidP="00CB2726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sz w:val="22"/>
          <w:szCs w:val="22"/>
        </w:rPr>
      </w:pPr>
    </w:p>
    <w:p w:rsidR="00721394" w:rsidRPr="00721394" w:rsidRDefault="00721394" w:rsidP="00721394">
      <w:pPr>
        <w:widowControl w:val="0"/>
        <w:autoSpaceDE w:val="0"/>
        <w:autoSpaceDN w:val="0"/>
        <w:adjustRightInd w:val="0"/>
        <w:ind w:left="900" w:right="1260"/>
        <w:jc w:val="both"/>
        <w:rPr>
          <w:rFonts w:ascii="Goudy Old Style" w:hAnsi="Goudy Old Style" w:cs="Times-Roman"/>
          <w:i/>
          <w:iCs/>
          <w:sz w:val="22"/>
          <w:szCs w:val="22"/>
        </w:rPr>
      </w:pPr>
      <w:r w:rsidRPr="00721394">
        <w:rPr>
          <w:rFonts w:ascii="Goudy Old Style" w:hAnsi="Goudy Old Style" w:cs="Times-Roman"/>
          <w:sz w:val="22"/>
          <w:szCs w:val="22"/>
        </w:rPr>
        <w:t xml:space="preserve">A shift from social concerns to the isolation of the individual marks the next phase of Ibsen's work.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The Master Builder </w:t>
      </w:r>
      <w:r w:rsidRPr="00721394">
        <w:rPr>
          <w:rFonts w:ascii="Goudy Old Style" w:hAnsi="Goudy Old Style" w:cs="Times-Roman"/>
          <w:sz w:val="22"/>
          <w:szCs w:val="22"/>
        </w:rPr>
        <w:t xml:space="preserve">(1892),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Little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Eyolf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(1894),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John Gabriel </w:t>
      </w:r>
      <w:proofErr w:type="spellStart"/>
      <w:r w:rsidRPr="00721394">
        <w:rPr>
          <w:rFonts w:ascii="Goudy Old Style" w:hAnsi="Goudy Old Style" w:cs="Times-Roman"/>
          <w:i/>
          <w:iCs/>
          <w:sz w:val="22"/>
          <w:szCs w:val="22"/>
        </w:rPr>
        <w:t>Borkman</w:t>
      </w:r>
      <w:proofErr w:type="spellEnd"/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 xml:space="preserve">(1896), and 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When We Dead Awaken </w:t>
      </w:r>
      <w:r w:rsidRPr="00721394">
        <w:rPr>
          <w:rFonts w:ascii="Goudy Old Style" w:hAnsi="Goudy Old Style" w:cs="Times-Roman"/>
          <w:sz w:val="22"/>
          <w:szCs w:val="22"/>
        </w:rPr>
        <w:t>(1899)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all treat the conflicts that arise between art and life, between creativity and social expectations, and between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personal contentment and self deception. These last works are considered by many critics to be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autobiographical. In 1900, Ibsen suffered his first of several strokes. Ill health ended his writing career, and he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died May 23, 1906.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Although Ibsen's audiences may have debated the social problems he depicted, modern critics are more often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interested in the philosophical and psychological elements depicted in his plays and the ideological debates</w:t>
      </w:r>
      <w:r w:rsidRPr="00721394">
        <w:rPr>
          <w:rFonts w:ascii="Goudy Old Style" w:hAnsi="Goudy Old Style" w:cs="Times-Roman"/>
          <w:i/>
          <w:iCs/>
          <w:sz w:val="22"/>
          <w:szCs w:val="22"/>
        </w:rPr>
        <w:t xml:space="preserve"> </w:t>
      </w:r>
      <w:r w:rsidRPr="00721394">
        <w:rPr>
          <w:rFonts w:ascii="Goudy Old Style" w:hAnsi="Goudy Old Style" w:cs="Times-Roman"/>
          <w:sz w:val="22"/>
          <w:szCs w:val="22"/>
        </w:rPr>
        <w:t>they generated.</w:t>
      </w:r>
    </w:p>
    <w:sectPr w:rsidR="00721394" w:rsidRPr="00721394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>
    <w:useFELayout/>
  </w:compat>
  <w:rsids>
    <w:rsidRoot w:val="000D3328"/>
    <w:rsid w:val="0009400B"/>
    <w:rsid w:val="000A4DEB"/>
    <w:rsid w:val="000D3328"/>
    <w:rsid w:val="00201B19"/>
    <w:rsid w:val="00721394"/>
    <w:rsid w:val="00A13D30"/>
    <w:rsid w:val="00CB2726"/>
    <w:rsid w:val="00D458E5"/>
    <w:rsid w:val="00EF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2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32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4</DocSecurity>
  <Lines>26</Lines>
  <Paragraphs>7</Paragraphs>
  <ScaleCrop>false</ScaleCrop>
  <Company>Strath Haven High School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 Sabatino</dc:creator>
  <cp:lastModifiedBy>lausd_user</cp:lastModifiedBy>
  <cp:revision>2</cp:revision>
  <dcterms:created xsi:type="dcterms:W3CDTF">2014-05-15T21:34:00Z</dcterms:created>
  <dcterms:modified xsi:type="dcterms:W3CDTF">2014-05-15T21:34:00Z</dcterms:modified>
</cp:coreProperties>
</file>