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proofErr w:type="gramStart"/>
      <w:r>
        <w:rPr>
          <w:rFonts w:ascii="Arial" w:hAnsi="Arial"/>
          <w:sz w:val="24"/>
        </w:rPr>
        <w:t>from</w:t>
      </w:r>
      <w:proofErr w:type="gramEnd"/>
      <w:r>
        <w:rPr>
          <w:rFonts w:ascii="Arial" w:hAnsi="Arial"/>
          <w:sz w:val="24"/>
        </w:rPr>
        <w:t xml:space="preserve"> “Tragedy and the Common Man” by Arthur Miller</w:t>
      </w:r>
    </w:p>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p>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r>
        <w:rPr>
          <w:rFonts w:ascii="Arial" w:hAnsi="Arial"/>
          <w:sz w:val="24"/>
        </w:rPr>
        <w:t>As a general rule, to which there may be exceptions unknown to me, I think the tragic feeling is evoked in us when we are in the presence of a character who is ready to lay down his life, if need be, to secure one thing--his personal sense of dignity.  …the underlying struggle is that of the individual attempting to gain his “rightful” position in his society.</w:t>
      </w:r>
    </w:p>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p>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r>
        <w:rPr>
          <w:rFonts w:ascii="Arial" w:hAnsi="Arial"/>
          <w:sz w:val="24"/>
        </w:rPr>
        <w:t xml:space="preserve">Sometimes he is one who has been displaced from it, sometimes one who seeks to attain it for the first time, but the fateful wound from which the inevitable events spiral is the wound of indignity, and its dominant force is indignation.  Tragedy, then, is the consequence of a man’s total compulsion to evaluate </w:t>
      </w:r>
      <w:proofErr w:type="gramStart"/>
      <w:r>
        <w:rPr>
          <w:rFonts w:ascii="Arial" w:hAnsi="Arial"/>
          <w:sz w:val="24"/>
        </w:rPr>
        <w:t>himself</w:t>
      </w:r>
      <w:proofErr w:type="gramEnd"/>
      <w:r>
        <w:rPr>
          <w:rFonts w:ascii="Arial" w:hAnsi="Arial"/>
          <w:sz w:val="24"/>
        </w:rPr>
        <w:t xml:space="preserve"> justly.</w:t>
      </w:r>
    </w:p>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p>
    <w:p w:rsidR="008D38DD" w:rsidRDefault="008D38DD" w:rsidP="008D38DD">
      <w:pPr>
        <w:pBdr>
          <w:top w:val="triple" w:sz="4" w:space="1" w:color="auto"/>
          <w:left w:val="triple" w:sz="4" w:space="4" w:color="auto"/>
          <w:bottom w:val="triple" w:sz="4" w:space="1" w:color="auto"/>
          <w:right w:val="triple" w:sz="4" w:space="4" w:color="auto"/>
        </w:pBdr>
        <w:rPr>
          <w:rFonts w:ascii="Arial" w:hAnsi="Arial"/>
          <w:sz w:val="24"/>
        </w:rPr>
      </w:pPr>
      <w:r>
        <w:rPr>
          <w:rFonts w:ascii="Arial" w:hAnsi="Arial"/>
          <w:sz w:val="24"/>
        </w:rPr>
        <w:t xml:space="preserve">In the sense of having been initiated by the hero himself, the tale always reveals what has been called his “tragic flaw,” a failing that is not peculiar to grand or elevated characters.  Nor is it necessarily a weakness.  The flaw, or crack in the character, is really nothing--and need be nothing--but his inherent unwillingness to remain passive in the face of what he conceives to be a challenge to his dignity, his image of his rightful states.  Only the passive, only those who accept their lot without active retaliation, are “flawless.” </w:t>
      </w:r>
    </w:p>
    <w:p w:rsidR="00AE35D4" w:rsidRDefault="00AE35D4"/>
    <w:sectPr w:rsidR="00AE35D4" w:rsidSect="00AE3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8DD"/>
    <w:rsid w:val="008D38DD"/>
    <w:rsid w:val="00AE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2014-10-27T16:44:00Z</dcterms:created>
  <dcterms:modified xsi:type="dcterms:W3CDTF">2014-10-27T16:44:00Z</dcterms:modified>
</cp:coreProperties>
</file>